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0B" w:rsidRDefault="00D268AE" w:rsidP="00357BD9">
      <w:bookmarkStart w:id="0" w:name="_GoBack"/>
      <w:bookmarkEnd w:id="0"/>
      <w:r>
        <w:rPr>
          <w:noProof/>
        </w:rPr>
        <w:pict w14:anchorId="152F4A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05pt;margin-top:-48pt;width:3in;height:46.55pt;z-index:251662336;mso-position-horizontal-relative:text;mso-position-vertical-relative:text;mso-width-relative:page;mso-height-relative:page">
            <v:imagedata r:id="rId8" o:title="BlackPrint" gain="0" blacklevel=".5" grayscale="t" bilevel="t"/>
          </v:shape>
        </w:pict>
      </w:r>
    </w:p>
    <w:p w:rsidR="00DB470B" w:rsidRDefault="00DB470B" w:rsidP="00357BD9"/>
    <w:p w:rsidR="00DB470B" w:rsidRPr="00490C0D" w:rsidRDefault="00DB470B" w:rsidP="00357BD9">
      <w:pPr>
        <w:rPr>
          <w:b/>
          <w:sz w:val="28"/>
        </w:rPr>
      </w:pPr>
      <w:r w:rsidRPr="00490C0D">
        <w:rPr>
          <w:b/>
          <w:sz w:val="28"/>
        </w:rPr>
        <w:t>Payment Policies for Healthcare Services</w:t>
      </w:r>
    </w:p>
    <w:p w:rsidR="00DB470B" w:rsidRPr="00490C0D" w:rsidRDefault="00DB470B" w:rsidP="00357BD9">
      <w:pPr>
        <w:rPr>
          <w:b/>
          <w:sz w:val="28"/>
        </w:rPr>
      </w:pPr>
      <w:r w:rsidRPr="00490C0D">
        <w:rPr>
          <w:b/>
          <w:sz w:val="28"/>
        </w:rPr>
        <w:t>Provided to Injured Workers and Crime Victims</w:t>
      </w:r>
    </w:p>
    <w:p w:rsidR="009B5F20" w:rsidRPr="009B5F20" w:rsidRDefault="00EE3D35" w:rsidP="00725D34">
      <w:pPr>
        <w:pStyle w:val="Heading1"/>
      </w:pPr>
      <w:r>
        <w:t xml:space="preserve">Chapter 17: Mental Health Services </w:t>
      </w:r>
    </w:p>
    <w:p w:rsidR="006E29A5" w:rsidRDefault="00EE3D35" w:rsidP="006E29A5">
      <w:pPr>
        <w:rPr>
          <w:b/>
          <w:sz w:val="28"/>
        </w:rPr>
      </w:pPr>
      <w:r>
        <w:rPr>
          <w:b/>
          <w:sz w:val="28"/>
        </w:rPr>
        <w:t xml:space="preserve">Effective </w:t>
      </w:r>
      <w:r w:rsidR="00540FD3" w:rsidRPr="005A49D6">
        <w:rPr>
          <w:b/>
          <w:noProof/>
          <w:sz w:val="28"/>
        </w:rPr>
        <w:drawing>
          <wp:anchor distT="0" distB="0" distL="114300" distR="114300" simplePos="0" relativeHeight="251660288" behindDoc="0" locked="1" layoutInCell="1" allowOverlap="1" wp14:anchorId="524C3759" wp14:editId="50F444A5">
            <wp:simplePos x="0" y="0"/>
            <wp:positionH relativeFrom="margin">
              <wp:align>left</wp:align>
            </wp:positionH>
            <wp:positionV relativeFrom="page">
              <wp:posOffset>320040</wp:posOffset>
            </wp:positionV>
            <wp:extent cx="2743200" cy="594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YKPri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DD5" w:rsidRPr="005A49D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5FA5CAF" wp14:editId="30C2913F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8065008" cy="11887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5008" cy="1188720"/>
                        </a:xfrm>
                        <a:prstGeom prst="rect">
                          <a:avLst/>
                        </a:prstGeom>
                        <a:solidFill>
                          <a:srgbClr val="0055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36023" id="Rectangle 1" o:spid="_x0000_s1026" style="position:absolute;margin-left:0;margin-top:0;width:635.05pt;height:93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" fillcolor="#005595" stroked="f" strokeweight="1pt">
                <w10:wrap anchorx="page" anchory="page"/>
                <w10:anchorlock/>
              </v:rect>
            </w:pict>
          </mc:Fallback>
        </mc:AlternateContent>
      </w:r>
      <w:bookmarkStart w:id="1" w:name="_Toc231201539"/>
      <w:bookmarkStart w:id="2" w:name="_Toc231373395"/>
      <w:bookmarkStart w:id="3" w:name="_Toc231614164"/>
      <w:r w:rsidR="005A49D6" w:rsidRPr="005A49D6">
        <w:rPr>
          <w:b/>
          <w:sz w:val="28"/>
        </w:rPr>
        <w:t>February 1, 2022</w:t>
      </w:r>
      <w:r w:rsidR="00410764">
        <w:rPr>
          <w:b/>
          <w:sz w:val="28"/>
        </w:rPr>
        <w:t xml:space="preserve"> </w:t>
      </w:r>
    </w:p>
    <w:p w:rsidR="00542FD0" w:rsidRDefault="00542FD0" w:rsidP="006E29A5">
      <w:pPr>
        <w:rPr>
          <w:b/>
          <w:sz w:val="28"/>
        </w:rPr>
      </w:pPr>
      <w:r>
        <w:rPr>
          <w:b/>
          <w:sz w:val="28"/>
        </w:rPr>
        <w:t xml:space="preserve">We’re updating Chapter 17: Mental Health Services. The policy below is in addition to the payment policy and is not intended to replace chapter 17: </w:t>
      </w:r>
    </w:p>
    <w:bookmarkEnd w:id="1"/>
    <w:bookmarkEnd w:id="2"/>
    <w:bookmarkEnd w:id="3"/>
    <w:p w:rsidR="00AC6A1F" w:rsidRDefault="00AC6A1F" w:rsidP="00EE3D35">
      <w:pPr>
        <w:pStyle w:val="Heading2"/>
      </w:pPr>
      <w:r>
        <w:rPr>
          <w:noProof/>
        </w:rPr>
        <w:drawing>
          <wp:inline distT="0" distB="0" distL="0" distR="0" wp14:anchorId="334AF867" wp14:editId="5E284B14">
            <wp:extent cx="457200" cy="403860"/>
            <wp:effectExtent l="19050" t="0" r="0" b="0"/>
            <wp:docPr id="4" name="Picture 1" descr="http://www.lni.wa.gov/wisha/rules/images/defin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ni.wa.gov/wisha/rules/images/definitio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3D35">
        <w:t xml:space="preserve">Payment policy: </w:t>
      </w:r>
      <w:r w:rsidR="006F7F26">
        <w:t>repetitive Transcranial Magnetic S</w:t>
      </w:r>
      <w:r w:rsidR="00EE3D35">
        <w:t>timulation (</w:t>
      </w:r>
      <w:proofErr w:type="spellStart"/>
      <w:r w:rsidR="006F7F26">
        <w:t>r</w:t>
      </w:r>
      <w:r w:rsidR="00EE3D35">
        <w:t>TMS</w:t>
      </w:r>
      <w:proofErr w:type="spellEnd"/>
      <w:r w:rsidR="00EE3D35">
        <w:t>)</w:t>
      </w:r>
      <w:r w:rsidR="006F7F26">
        <w:t xml:space="preserve"> for treatment-resistant depression</w:t>
      </w:r>
    </w:p>
    <w:p w:rsidR="00AC6A1F" w:rsidRDefault="00EE3D35" w:rsidP="00357BD9">
      <w:r>
        <w:t xml:space="preserve">The insurer covers transcranial magnetic stimulation (TMS) on a limited basis. Authorization for this treatment is dependent upon the conditions of coverage noted in the </w:t>
      </w:r>
      <w:r w:rsidR="00A07FF9">
        <w:t xml:space="preserve">coverage decisions for TMS therapy. </w:t>
      </w:r>
      <w:r>
        <w:t xml:space="preserve">The coverage details are available online: </w:t>
      </w:r>
      <w:hyperlink r:id="rId11" w:history="1">
        <w:r w:rsidR="000B2C48">
          <w:rPr>
            <w:rStyle w:val="Hyperlink"/>
          </w:rPr>
          <w:t>Conditions and Treatments.</w:t>
        </w:r>
      </w:hyperlink>
      <w:r w:rsidR="00A07FF9">
        <w:t xml:space="preserve"> </w:t>
      </w:r>
    </w:p>
    <w:p w:rsidR="00A07FF9" w:rsidRDefault="00A07FF9" w:rsidP="00EE3D35">
      <w:pPr>
        <w:pStyle w:val="Heading3"/>
      </w:pPr>
      <w:r>
        <w:t>Prior authorization</w:t>
      </w:r>
    </w:p>
    <w:p w:rsidR="00A07FF9" w:rsidRDefault="00A07FF9" w:rsidP="00A07FF9">
      <w:r>
        <w:t xml:space="preserve">Prior authorization is required prior to initiating </w:t>
      </w:r>
      <w:proofErr w:type="spellStart"/>
      <w:r w:rsidR="006F7F26">
        <w:t>r</w:t>
      </w:r>
      <w:r>
        <w:t>TMS</w:t>
      </w:r>
      <w:proofErr w:type="spellEnd"/>
      <w:r>
        <w:t xml:space="preserve"> treatment. </w:t>
      </w:r>
    </w:p>
    <w:p w:rsidR="00FC5500" w:rsidRDefault="00FC5500" w:rsidP="00FC5500">
      <w:pPr>
        <w:pStyle w:val="Heading3"/>
      </w:pPr>
      <w:r>
        <w:t xml:space="preserve">Who must perform these services to qualify for payment </w:t>
      </w:r>
    </w:p>
    <w:p w:rsidR="00324D57" w:rsidRDefault="006F7F26" w:rsidP="00FC5500">
      <w:r>
        <w:t>Authorized services must be performed by a</w:t>
      </w:r>
      <w:r w:rsidR="007C6440">
        <w:t xml:space="preserve">: </w:t>
      </w:r>
    </w:p>
    <w:p w:rsidR="007C6440" w:rsidRDefault="006F7F26" w:rsidP="007C6440">
      <w:pPr>
        <w:pStyle w:val="ListParagraph"/>
        <w:numPr>
          <w:ilvl w:val="0"/>
          <w:numId w:val="5"/>
        </w:numPr>
      </w:pPr>
      <w:r>
        <w:t>Psychiatrist (MD or DO)</w:t>
      </w:r>
      <w:r w:rsidR="007C6440">
        <w:t xml:space="preserve">, </w:t>
      </w:r>
      <w:r w:rsidR="007C6440">
        <w:rPr>
          <w:i/>
        </w:rPr>
        <w:t>or</w:t>
      </w:r>
    </w:p>
    <w:p w:rsidR="007C6440" w:rsidRPr="007C6440" w:rsidRDefault="006F7F26" w:rsidP="007C6440">
      <w:pPr>
        <w:pStyle w:val="ListParagraph"/>
        <w:numPr>
          <w:ilvl w:val="0"/>
          <w:numId w:val="5"/>
        </w:numPr>
      </w:pPr>
      <w:r>
        <w:t>Psychiatric Advanced Registered Nurse Practitioner (ARNP)</w:t>
      </w:r>
      <w:r w:rsidR="007C6440">
        <w:t xml:space="preserve">, </w:t>
      </w:r>
      <w:r w:rsidR="007C6440">
        <w:rPr>
          <w:i/>
        </w:rPr>
        <w:t>or</w:t>
      </w:r>
    </w:p>
    <w:p w:rsidR="007C6440" w:rsidRPr="00FC5500" w:rsidRDefault="006F7F26" w:rsidP="007C6440">
      <w:pPr>
        <w:pStyle w:val="ListParagraph"/>
        <w:numPr>
          <w:ilvl w:val="0"/>
          <w:numId w:val="5"/>
        </w:numPr>
      </w:pPr>
      <w:r>
        <w:t xml:space="preserve">Licensed clinical PhD or </w:t>
      </w:r>
      <w:proofErr w:type="spellStart"/>
      <w:r>
        <w:t>PsyD</w:t>
      </w:r>
      <w:proofErr w:type="spellEnd"/>
      <w:r>
        <w:t xml:space="preserve"> psychologist </w:t>
      </w:r>
    </w:p>
    <w:p w:rsidR="00FC5500" w:rsidRDefault="00FC5500" w:rsidP="00FC5500">
      <w:pPr>
        <w:pStyle w:val="Heading3"/>
      </w:pPr>
      <w:r>
        <w:t>Requirements for billing</w:t>
      </w:r>
    </w:p>
    <w:p w:rsidR="006F7F26" w:rsidRDefault="006F7F26" w:rsidP="006F7F26">
      <w:r>
        <w:t xml:space="preserve">Documentation must include the specific protocol used. The insurer must receive documentation including a copy of the treatment plan established by the visit billed using </w:t>
      </w:r>
      <w:r w:rsidRPr="006B3B17">
        <w:rPr>
          <w:rStyle w:val="CodeTerm"/>
        </w:rPr>
        <w:t>90867</w:t>
      </w:r>
      <w:r w:rsidR="004623E6">
        <w:rPr>
          <w:rStyle w:val="CodeTerm"/>
        </w:rPr>
        <w:t xml:space="preserve">. </w:t>
      </w:r>
    </w:p>
    <w:p w:rsidR="006F7F26" w:rsidRDefault="006F7F26" w:rsidP="006F7F26">
      <w:r>
        <w:t xml:space="preserve">Billing of </w:t>
      </w:r>
      <w:proofErr w:type="spellStart"/>
      <w:r>
        <w:t>rTMS</w:t>
      </w:r>
      <w:proofErr w:type="spellEnd"/>
      <w:r>
        <w:t xml:space="preserve"> codes must be in accordance with CPT® code definitions. </w:t>
      </w:r>
    </w:p>
    <w:p w:rsidR="006B3B17" w:rsidRDefault="006B3B17" w:rsidP="00FC5500">
      <w:r>
        <w:t xml:space="preserve">Documentation of the treatment must support billing one </w:t>
      </w:r>
      <w:r w:rsidR="00FE4E78">
        <w:t xml:space="preserve">of the three codes listed below for each date of service. </w:t>
      </w:r>
    </w:p>
    <w:p w:rsidR="006F7F26" w:rsidRDefault="006F7F26" w:rsidP="00FC5500">
      <w:r>
        <w:lastRenderedPageBreak/>
        <w:t xml:space="preserve">Chart notes must contain documentation that justifies the level, type and extent of services billed. </w:t>
      </w:r>
    </w:p>
    <w:p w:rsidR="006B3B17" w:rsidRDefault="006B3B17" w:rsidP="00FC5500">
      <w:r>
        <w:t xml:space="preserve">When billing a significantly separate identifiable service, using either modifier -25 or -59, the services must be documented separately. </w:t>
      </w:r>
    </w:p>
    <w:p w:rsidR="006F7F26" w:rsidRDefault="006F7F26" w:rsidP="00324D57">
      <w:r>
        <w:t xml:space="preserve">E/M activities related to cortical mapping, motor threshold determination, and/or delivery and management of </w:t>
      </w:r>
      <w:proofErr w:type="spellStart"/>
      <w:r>
        <w:t>rTMS</w:t>
      </w:r>
      <w:proofErr w:type="spellEnd"/>
      <w:r>
        <w:t xml:space="preserve"> aren’t separately payable. </w:t>
      </w:r>
    </w:p>
    <w:p w:rsidR="00324D57" w:rsidRPr="00FC5500" w:rsidRDefault="00324D57" w:rsidP="00324D57">
      <w:r>
        <w:t xml:space="preserve">Don’t bill more than one unit per day to report TMS. </w:t>
      </w:r>
    </w:p>
    <w:p w:rsidR="00EE3D35" w:rsidRDefault="00EE3D35" w:rsidP="00EE3D35">
      <w:pPr>
        <w:pStyle w:val="Heading3"/>
      </w:pPr>
      <w:r>
        <w:t xml:space="preserve">Services that can be billed </w:t>
      </w:r>
    </w:p>
    <w:p w:rsidR="00A07FF9" w:rsidRDefault="006F7F26" w:rsidP="00A07FF9">
      <w:r>
        <w:t>R</w:t>
      </w:r>
      <w:r w:rsidR="00A07FF9">
        <w:t>epetitive transcranial magnetic stimulation (</w:t>
      </w:r>
      <w:proofErr w:type="spellStart"/>
      <w:r w:rsidR="00A07FF9">
        <w:t>rTMS</w:t>
      </w:r>
      <w:proofErr w:type="spellEnd"/>
      <w:r w:rsidR="00A07FF9">
        <w:t xml:space="preserve">) </w:t>
      </w:r>
      <w:r>
        <w:t>is</w:t>
      </w:r>
      <w:r w:rsidR="00A07FF9">
        <w:t xml:space="preserve"> covered for workers with unipolar or bipolar diagnosis. This coverage is dependent upon the criteria outlined in the </w:t>
      </w:r>
      <w:hyperlink r:id="rId12" w:history="1">
        <w:r w:rsidR="00A07FF9" w:rsidRPr="006F7F26">
          <w:rPr>
            <w:rStyle w:val="Hyperlink"/>
          </w:rPr>
          <w:t>coverage decision</w:t>
        </w:r>
      </w:hyperlink>
      <w:r w:rsidR="00A07FF9">
        <w:t xml:space="preserve">. </w:t>
      </w:r>
    </w:p>
    <w:p w:rsidR="00A07FF9" w:rsidRDefault="00A07FF9" w:rsidP="00A07FF9">
      <w:r>
        <w:t xml:space="preserve">Only therapies reflected in the CPT® code descriptions for the following codes may be authorized: </w:t>
      </w:r>
    </w:p>
    <w:p w:rsidR="00A07FF9" w:rsidRPr="00A07FF9" w:rsidRDefault="00A07FF9" w:rsidP="00A07FF9">
      <w:pPr>
        <w:pStyle w:val="ListParagraph"/>
        <w:numPr>
          <w:ilvl w:val="0"/>
          <w:numId w:val="3"/>
        </w:numPr>
        <w:rPr>
          <w:rStyle w:val="CodeTerm"/>
          <w:b w:val="0"/>
          <w:color w:val="auto"/>
        </w:rPr>
      </w:pPr>
      <w:r>
        <w:rPr>
          <w:rStyle w:val="CodeTerm"/>
        </w:rPr>
        <w:t>90867</w:t>
      </w:r>
    </w:p>
    <w:p w:rsidR="00A07FF9" w:rsidRPr="00A07FF9" w:rsidRDefault="00A07FF9" w:rsidP="00A07FF9">
      <w:pPr>
        <w:pStyle w:val="ListParagraph"/>
        <w:numPr>
          <w:ilvl w:val="0"/>
          <w:numId w:val="3"/>
        </w:numPr>
        <w:rPr>
          <w:rStyle w:val="CodeTerm"/>
          <w:b w:val="0"/>
          <w:color w:val="auto"/>
        </w:rPr>
      </w:pPr>
      <w:r>
        <w:rPr>
          <w:rStyle w:val="CodeTerm"/>
        </w:rPr>
        <w:t>90868</w:t>
      </w:r>
    </w:p>
    <w:p w:rsidR="00A07FF9" w:rsidRPr="007865FE" w:rsidRDefault="00A07FF9" w:rsidP="00A07FF9">
      <w:pPr>
        <w:pStyle w:val="ListParagraph"/>
        <w:numPr>
          <w:ilvl w:val="0"/>
          <w:numId w:val="3"/>
        </w:numPr>
        <w:rPr>
          <w:rStyle w:val="CodeTerm"/>
          <w:b w:val="0"/>
          <w:color w:val="auto"/>
        </w:rPr>
      </w:pPr>
      <w:r>
        <w:rPr>
          <w:rStyle w:val="CodeTerm"/>
        </w:rPr>
        <w:t>90869</w:t>
      </w:r>
    </w:p>
    <w:p w:rsidR="007865FE" w:rsidRDefault="007865FE" w:rsidP="007865FE">
      <w:r>
        <w:t xml:space="preserve">If a </w:t>
      </w:r>
      <w:r w:rsidR="00324D57">
        <w:t xml:space="preserve">significant, </w:t>
      </w:r>
      <w:r>
        <w:t xml:space="preserve">separately identifiable E/M, medication management, or psychotherapy service is performed, then an E/M or psychotherapy code may be billed in addition to </w:t>
      </w:r>
      <w:r w:rsidRPr="007865FE">
        <w:rPr>
          <w:rStyle w:val="CodeTerm"/>
        </w:rPr>
        <w:t>90867-90869</w:t>
      </w:r>
      <w:r>
        <w:t xml:space="preserve">. Use modifier -25 for </w:t>
      </w:r>
      <w:r w:rsidR="006F7F26">
        <w:t>a</w:t>
      </w:r>
      <w:r>
        <w:t xml:space="preserve"> separately identifiable E/M or medication management service. Use modifier -59 for </w:t>
      </w:r>
      <w:r w:rsidR="006F7F26">
        <w:t>a</w:t>
      </w:r>
      <w:r>
        <w:t xml:space="preserve"> separately identifiable psychotherapy service. </w:t>
      </w:r>
    </w:p>
    <w:p w:rsidR="00A07FF9" w:rsidRDefault="00A07FF9" w:rsidP="00A07FF9">
      <w:pPr>
        <w:pStyle w:val="Heading3"/>
      </w:pPr>
      <w:r>
        <w:t>Payment limits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E3C08" w:rsidRPr="008E3C08" w:rsidTr="008E3C08">
        <w:tc>
          <w:tcPr>
            <w:tcW w:w="3116" w:type="dxa"/>
            <w:shd w:val="clear" w:color="auto" w:fill="2F5496" w:themeFill="accent5" w:themeFillShade="BF"/>
          </w:tcPr>
          <w:p w:rsidR="008E3C08" w:rsidRPr="008E3C08" w:rsidRDefault="008E3C08" w:rsidP="008E3C08">
            <w:pPr>
              <w:rPr>
                <w:rStyle w:val="CodeTerm"/>
                <w:color w:val="FFFFFF" w:themeColor="background1"/>
              </w:rPr>
            </w:pPr>
            <w:r w:rsidRPr="008E3C08">
              <w:rPr>
                <w:rStyle w:val="CodeTerm"/>
                <w:color w:val="FFFFFF" w:themeColor="background1"/>
              </w:rPr>
              <w:t>When billing this code…</w:t>
            </w:r>
          </w:p>
        </w:tc>
        <w:tc>
          <w:tcPr>
            <w:tcW w:w="3117" w:type="dxa"/>
            <w:shd w:val="clear" w:color="auto" w:fill="2F5496" w:themeFill="accent5" w:themeFillShade="BF"/>
          </w:tcPr>
          <w:p w:rsidR="008E3C08" w:rsidRPr="008E3C08" w:rsidRDefault="00E64805" w:rsidP="001F5FEA">
            <w:pPr>
              <w:rPr>
                <w:rStyle w:val="CodeTerm"/>
                <w:color w:val="FFFFFF" w:themeColor="background1"/>
              </w:rPr>
            </w:pPr>
            <w:r>
              <w:rPr>
                <w:rStyle w:val="CodeTerm"/>
                <w:color w:val="FFFFFF" w:themeColor="background1"/>
              </w:rPr>
              <w:t xml:space="preserve">The </w:t>
            </w:r>
            <w:r w:rsidR="001F5FEA">
              <w:rPr>
                <w:rStyle w:val="CodeTerm"/>
                <w:color w:val="FFFFFF" w:themeColor="background1"/>
              </w:rPr>
              <w:t xml:space="preserve">max billable </w:t>
            </w:r>
            <w:r w:rsidR="008E3C08" w:rsidRPr="008E3C08">
              <w:rPr>
                <w:rStyle w:val="CodeTerm"/>
                <w:color w:val="FFFFFF" w:themeColor="background1"/>
              </w:rPr>
              <w:t>units per day</w:t>
            </w:r>
            <w:r w:rsidR="001F5FEA">
              <w:rPr>
                <w:rStyle w:val="CodeTerm"/>
                <w:color w:val="FFFFFF" w:themeColor="background1"/>
              </w:rPr>
              <w:t xml:space="preserve"> is</w:t>
            </w:r>
            <w:r w:rsidR="008E3C08" w:rsidRPr="008E3C08">
              <w:rPr>
                <w:rStyle w:val="CodeTerm"/>
                <w:color w:val="FFFFFF" w:themeColor="background1"/>
              </w:rPr>
              <w:t>…</w:t>
            </w:r>
          </w:p>
        </w:tc>
        <w:tc>
          <w:tcPr>
            <w:tcW w:w="3117" w:type="dxa"/>
            <w:shd w:val="clear" w:color="auto" w:fill="2F5496" w:themeFill="accent5" w:themeFillShade="BF"/>
          </w:tcPr>
          <w:p w:rsidR="008E3C08" w:rsidRPr="008E3C08" w:rsidRDefault="003A1F2F" w:rsidP="001F5FEA">
            <w:pPr>
              <w:rPr>
                <w:rStyle w:val="CodeTerm"/>
                <w:color w:val="FFFFFF" w:themeColor="background1"/>
              </w:rPr>
            </w:pPr>
            <w:r>
              <w:rPr>
                <w:rStyle w:val="CodeTerm"/>
                <w:color w:val="FFFFFF" w:themeColor="background1"/>
              </w:rPr>
              <w:t>And</w:t>
            </w:r>
            <w:r w:rsidR="008E3C08" w:rsidRPr="008E3C08">
              <w:rPr>
                <w:rStyle w:val="CodeTerm"/>
                <w:color w:val="FFFFFF" w:themeColor="background1"/>
              </w:rPr>
              <w:t xml:space="preserve"> th</w:t>
            </w:r>
            <w:r w:rsidR="001F5FEA">
              <w:rPr>
                <w:rStyle w:val="CodeTerm"/>
                <w:color w:val="FFFFFF" w:themeColor="background1"/>
              </w:rPr>
              <w:t>e max billable uni</w:t>
            </w:r>
            <w:r w:rsidR="008E3C08" w:rsidRPr="008E3C08">
              <w:rPr>
                <w:rStyle w:val="CodeTerm"/>
                <w:color w:val="FFFFFF" w:themeColor="background1"/>
              </w:rPr>
              <w:t>ts per the life of the claim</w:t>
            </w:r>
            <w:r w:rsidR="001F5FEA">
              <w:rPr>
                <w:rStyle w:val="CodeTerm"/>
                <w:color w:val="FFFFFF" w:themeColor="background1"/>
              </w:rPr>
              <w:t xml:space="preserve"> is</w:t>
            </w:r>
            <w:r w:rsidR="008E3C08" w:rsidRPr="008E3C08">
              <w:rPr>
                <w:rStyle w:val="CodeTerm"/>
                <w:color w:val="FFFFFF" w:themeColor="background1"/>
              </w:rPr>
              <w:t>…</w:t>
            </w:r>
          </w:p>
        </w:tc>
      </w:tr>
      <w:tr w:rsidR="008E3C08" w:rsidTr="008E3C08">
        <w:tc>
          <w:tcPr>
            <w:tcW w:w="3116" w:type="dxa"/>
          </w:tcPr>
          <w:p w:rsidR="008E3C08" w:rsidRDefault="008E3C08" w:rsidP="00A07FF9">
            <w:pPr>
              <w:rPr>
                <w:rStyle w:val="CodeTerm"/>
              </w:rPr>
            </w:pPr>
            <w:r>
              <w:rPr>
                <w:rStyle w:val="CodeTerm"/>
              </w:rPr>
              <w:t>90867</w:t>
            </w:r>
          </w:p>
        </w:tc>
        <w:tc>
          <w:tcPr>
            <w:tcW w:w="3117" w:type="dxa"/>
          </w:tcPr>
          <w:p w:rsidR="008E3C08" w:rsidRPr="008E3C08" w:rsidRDefault="008E3C08" w:rsidP="00A07FF9">
            <w:r w:rsidRPr="008E3C08">
              <w:t>1</w:t>
            </w:r>
          </w:p>
        </w:tc>
        <w:tc>
          <w:tcPr>
            <w:tcW w:w="3117" w:type="dxa"/>
          </w:tcPr>
          <w:p w:rsidR="008E3C08" w:rsidRPr="008E3C08" w:rsidRDefault="008E3C08" w:rsidP="00A07FF9">
            <w:r w:rsidRPr="008E3C08">
              <w:t>3</w:t>
            </w:r>
          </w:p>
        </w:tc>
      </w:tr>
      <w:tr w:rsidR="008E3C08" w:rsidTr="008E3C08">
        <w:tc>
          <w:tcPr>
            <w:tcW w:w="3116" w:type="dxa"/>
          </w:tcPr>
          <w:p w:rsidR="008E3C08" w:rsidRDefault="008E3C08" w:rsidP="00A07FF9">
            <w:pPr>
              <w:rPr>
                <w:rStyle w:val="CodeTerm"/>
              </w:rPr>
            </w:pPr>
            <w:r>
              <w:rPr>
                <w:rStyle w:val="CodeTerm"/>
              </w:rPr>
              <w:t>90868</w:t>
            </w:r>
          </w:p>
        </w:tc>
        <w:tc>
          <w:tcPr>
            <w:tcW w:w="3117" w:type="dxa"/>
          </w:tcPr>
          <w:p w:rsidR="008E3C08" w:rsidRPr="008E3C08" w:rsidRDefault="008E3C08" w:rsidP="00A07FF9">
            <w:r w:rsidRPr="008E3C08">
              <w:t>1</w:t>
            </w:r>
          </w:p>
        </w:tc>
        <w:tc>
          <w:tcPr>
            <w:tcW w:w="3117" w:type="dxa"/>
          </w:tcPr>
          <w:p w:rsidR="008E3C08" w:rsidRPr="008E3C08" w:rsidRDefault="008E3C08" w:rsidP="00A07FF9">
            <w:r w:rsidRPr="008E3C08">
              <w:t>As proper and necessary</w:t>
            </w:r>
          </w:p>
        </w:tc>
      </w:tr>
      <w:tr w:rsidR="008E3C08" w:rsidTr="008E3C08">
        <w:tc>
          <w:tcPr>
            <w:tcW w:w="3116" w:type="dxa"/>
          </w:tcPr>
          <w:p w:rsidR="008E3C08" w:rsidRDefault="008E3C08" w:rsidP="00A07FF9">
            <w:pPr>
              <w:rPr>
                <w:rStyle w:val="CodeTerm"/>
              </w:rPr>
            </w:pPr>
            <w:r>
              <w:rPr>
                <w:rStyle w:val="CodeTerm"/>
              </w:rPr>
              <w:t>90869</w:t>
            </w:r>
          </w:p>
        </w:tc>
        <w:tc>
          <w:tcPr>
            <w:tcW w:w="3117" w:type="dxa"/>
          </w:tcPr>
          <w:p w:rsidR="008E3C08" w:rsidRPr="008E3C08" w:rsidRDefault="008E3C08" w:rsidP="00A07FF9">
            <w:r w:rsidRPr="008E3C08">
              <w:t>1</w:t>
            </w:r>
          </w:p>
        </w:tc>
        <w:tc>
          <w:tcPr>
            <w:tcW w:w="3117" w:type="dxa"/>
          </w:tcPr>
          <w:p w:rsidR="008E3C08" w:rsidRPr="008E3C08" w:rsidRDefault="008E3C08" w:rsidP="00A07FF9">
            <w:r w:rsidRPr="008E3C08">
              <w:t>6</w:t>
            </w:r>
          </w:p>
        </w:tc>
      </w:tr>
    </w:tbl>
    <w:p w:rsidR="00A07FF9" w:rsidRDefault="00A07FF9" w:rsidP="00A07FF9">
      <w:pPr>
        <w:rPr>
          <w:rStyle w:val="CodeTerm"/>
          <w:b w:val="0"/>
          <w:color w:val="auto"/>
        </w:rPr>
      </w:pPr>
      <w:r w:rsidRPr="006F7F26">
        <w:rPr>
          <w:rStyle w:val="CodeTerm"/>
          <w:color w:val="auto"/>
        </w:rPr>
        <w:t>These three codes may not be billed together on the same date of service</w:t>
      </w:r>
      <w:r w:rsidRPr="003A1F2F">
        <w:rPr>
          <w:rStyle w:val="CodeTerm"/>
          <w:color w:val="auto"/>
        </w:rPr>
        <w:t>.</w:t>
      </w:r>
      <w:r w:rsidRPr="00EE3D35">
        <w:rPr>
          <w:rStyle w:val="CodeTerm"/>
          <w:b w:val="0"/>
          <w:color w:val="auto"/>
        </w:rPr>
        <w:t xml:space="preserve"> </w:t>
      </w:r>
    </w:p>
    <w:p w:rsidR="008E3C08" w:rsidRPr="00A07FF9" w:rsidRDefault="008E3C08" w:rsidP="00A07FF9">
      <w:r>
        <w:rPr>
          <w:rStyle w:val="CodeTerm"/>
          <w:b w:val="0"/>
          <w:color w:val="auto"/>
        </w:rPr>
        <w:t xml:space="preserve">Multiple claims for the same claimant are subject to split billing. </w:t>
      </w:r>
    </w:p>
    <w:p w:rsidR="00A07FF9" w:rsidRPr="00A07FF9" w:rsidRDefault="00A07FF9" w:rsidP="00A07FF9">
      <w:pPr>
        <w:pStyle w:val="Heading3"/>
      </w:pPr>
      <w:r w:rsidRPr="00A07FF9">
        <w:t>Services not covered</w:t>
      </w:r>
    </w:p>
    <w:p w:rsidR="00A07FF9" w:rsidRDefault="006F7F26" w:rsidP="00A07FF9">
      <w:r>
        <w:t xml:space="preserve">TMS protocol that </w:t>
      </w:r>
      <w:r w:rsidR="00A07FF9">
        <w:t xml:space="preserve">isn’t FDA approved </w:t>
      </w:r>
      <w:r>
        <w:t>is</w:t>
      </w:r>
      <w:r w:rsidR="00A07FF9">
        <w:t xml:space="preserve"> not covered. </w:t>
      </w:r>
    </w:p>
    <w:p w:rsidR="00897BDA" w:rsidRPr="00A07FF9" w:rsidRDefault="00897BDA" w:rsidP="00A07FF9">
      <w:r>
        <w:t xml:space="preserve">Services that aren’t pre-authorized may be denied. </w:t>
      </w:r>
    </w:p>
    <w:sectPr w:rsidR="00897BDA" w:rsidRPr="00A07FF9" w:rsidSect="007D13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AE" w:rsidRDefault="00D268AE" w:rsidP="00357BD9">
      <w:r>
        <w:separator/>
      </w:r>
    </w:p>
  </w:endnote>
  <w:endnote w:type="continuationSeparator" w:id="0">
    <w:p w:rsidR="00D268AE" w:rsidRDefault="00D268AE" w:rsidP="0035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9C5" w:rsidRPr="003B06A5" w:rsidRDefault="003B06A5" w:rsidP="00357B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7F4DE7C" wp14:editId="18080468">
              <wp:simplePos x="0" y="0"/>
              <wp:positionH relativeFrom="margin">
                <wp:align>right</wp:align>
              </wp:positionH>
              <wp:positionV relativeFrom="page">
                <wp:posOffset>9401175</wp:posOffset>
              </wp:positionV>
              <wp:extent cx="5915660" cy="0"/>
              <wp:effectExtent l="0" t="0" r="2794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7AD75" id="Straight Connector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4.6pt,740.25pt" to="880.4pt,7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" strokecolor="black [3200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7E36B1">
      <w:t>MARFS Updates and Corrections</w:t>
    </w:r>
    <w:r w:rsidR="007E36B1"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070A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A5" w:rsidRDefault="003B06A5" w:rsidP="00357B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69DB698" wp14:editId="6B728A28">
              <wp:simplePos x="0" y="0"/>
              <wp:positionH relativeFrom="margin">
                <wp:align>right</wp:align>
              </wp:positionH>
              <wp:positionV relativeFrom="page">
                <wp:posOffset>9401175</wp:posOffset>
              </wp:positionV>
              <wp:extent cx="5915660" cy="0"/>
              <wp:effectExtent l="0" t="0" r="2794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15267" id="Straight Connector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4.6pt,740.25pt" to="880.4pt,7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" strokecolor="black [3200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7E36B1" w:rsidRPr="007E36B1">
      <w:t xml:space="preserve"> </w:t>
    </w:r>
    <w:r w:rsidR="007E36B1">
      <w:t>MARFS Updates and Corrections</w:t>
    </w:r>
    <w:r w:rsidR="007E36B1"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F5FEA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48" w:rsidRPr="003B06A5" w:rsidRDefault="003B06A5" w:rsidP="00357B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42B0F6D" wp14:editId="22FB9BD8">
              <wp:simplePos x="0" y="0"/>
              <wp:positionH relativeFrom="margin">
                <wp:align>right</wp:align>
              </wp:positionH>
              <wp:positionV relativeFrom="page">
                <wp:posOffset>9401175</wp:posOffset>
              </wp:positionV>
              <wp:extent cx="5915660" cy="0"/>
              <wp:effectExtent l="0" t="0" r="2794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95DC5F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4.6pt,740.25pt" to="880.4pt,7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" strokecolor="black [3200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B8296C">
      <w:t>MARFS Updates and Corrections</w:t>
    </w:r>
    <w:r w:rsidR="00B8296C"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070A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AE" w:rsidRDefault="00D268AE" w:rsidP="00357BD9">
      <w:r>
        <w:separator/>
      </w:r>
    </w:p>
  </w:footnote>
  <w:footnote w:type="continuationSeparator" w:id="0">
    <w:p w:rsidR="00D268AE" w:rsidRDefault="00D268AE" w:rsidP="0035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9C5" w:rsidRPr="00357BD9" w:rsidRDefault="00357BD9" w:rsidP="00357BD9">
    <w:pPr>
      <w:pStyle w:val="Header"/>
    </w:pPr>
    <w:r w:rsidRPr="004379C5">
      <w:t>Payment Policies</w:t>
    </w:r>
    <w:r w:rsidRPr="004379C5">
      <w:tab/>
    </w:r>
    <w:r w:rsidR="00F8028B">
      <w:t xml:space="preserve">                                             </w:t>
    </w:r>
    <w:r w:rsidR="00460EB4">
      <w:t xml:space="preserve">Update: </w:t>
    </w:r>
    <w:r w:rsidR="00F8028B">
      <w:t>Chapter 17: Mental Health Services, TMS</w:t>
    </w:r>
    <w:r w:rsidRPr="00265A24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603646D" wp14:editId="4B305AAD">
              <wp:simplePos x="0" y="0"/>
              <wp:positionH relativeFrom="margin">
                <wp:align>right</wp:align>
              </wp:positionH>
              <wp:positionV relativeFrom="page">
                <wp:posOffset>714375</wp:posOffset>
              </wp:positionV>
              <wp:extent cx="5915660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59CD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4.6pt,56.25pt" to="880.4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" strokecolor="black [3200]" strokeweight=".5pt">
              <v:stroke joinstyle="miter"/>
              <w10:wrap anchorx="margin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24" w:rsidRPr="003B06A5" w:rsidRDefault="003B06A5" w:rsidP="00357BD9">
    <w:pPr>
      <w:pStyle w:val="Header"/>
    </w:pPr>
    <w:r w:rsidRPr="004379C5">
      <w:t>Payment Policies</w:t>
    </w:r>
    <w:r w:rsidRPr="004379C5">
      <w:tab/>
    </w:r>
    <w:r>
      <w:tab/>
    </w:r>
    <w:r w:rsidR="0083793E">
      <w:t>Update: Students and Student Supervision</w:t>
    </w:r>
    <w:r w:rsidRPr="00265A24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191377B7" wp14:editId="1AE46B4B">
              <wp:simplePos x="0" y="0"/>
              <wp:positionH relativeFrom="margin">
                <wp:align>right</wp:align>
              </wp:positionH>
              <wp:positionV relativeFrom="page">
                <wp:posOffset>714375</wp:posOffset>
              </wp:positionV>
              <wp:extent cx="5915660" cy="0"/>
              <wp:effectExtent l="0" t="0" r="2794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0B07B" id="Straight Connector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4.6pt,56.25pt" to="880.4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" strokecolor="black [3200]" strokeweight=".5pt">
              <v:stroke joinstyle="miter"/>
              <w10:wrap anchorx="margin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48" w:rsidRDefault="00D268AE" w:rsidP="00357BD9">
    <w:pPr>
      <w:pStyle w:val="Header"/>
    </w:pPr>
    <w:sdt>
      <w:sdtPr>
        <w:id w:val="3563105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F4348">
          <w:fldChar w:fldCharType="begin"/>
        </w:r>
        <w:r w:rsidR="003F4348">
          <w:instrText xml:space="preserve"> PAGE   \* MERGEFORMAT </w:instrText>
        </w:r>
        <w:r w:rsidR="003F4348">
          <w:fldChar w:fldCharType="separate"/>
        </w:r>
        <w:r w:rsidR="003070A9">
          <w:rPr>
            <w:noProof/>
          </w:rPr>
          <w:t>1</w:t>
        </w:r>
        <w:r w:rsidR="003F4348">
          <w:rPr>
            <w:noProof/>
          </w:rPr>
          <w:fldChar w:fldCharType="end"/>
        </w:r>
      </w:sdtContent>
    </w:sdt>
  </w:p>
  <w:p w:rsidR="00484F1D" w:rsidRDefault="00484F1D" w:rsidP="00357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7711"/>
    <w:multiLevelType w:val="hybridMultilevel"/>
    <w:tmpl w:val="1B90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E2915"/>
    <w:multiLevelType w:val="hybridMultilevel"/>
    <w:tmpl w:val="76C0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A7A77"/>
    <w:multiLevelType w:val="hybridMultilevel"/>
    <w:tmpl w:val="D2D4AEE0"/>
    <w:lvl w:ilvl="0" w:tplc="67E4F5C4">
      <w:start w:val="1"/>
      <w:numFmt w:val="bullet"/>
      <w:pStyle w:val="Subsec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87FAE"/>
    <w:multiLevelType w:val="hybridMultilevel"/>
    <w:tmpl w:val="2026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64EBB"/>
    <w:multiLevelType w:val="hybridMultilevel"/>
    <w:tmpl w:val="4906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17"/>
    <w:rsid w:val="00001038"/>
    <w:rsid w:val="000120EC"/>
    <w:rsid w:val="00023099"/>
    <w:rsid w:val="00062549"/>
    <w:rsid w:val="00090BEC"/>
    <w:rsid w:val="000B2C48"/>
    <w:rsid w:val="000C3F46"/>
    <w:rsid w:val="000C68D1"/>
    <w:rsid w:val="000D639A"/>
    <w:rsid w:val="000D7648"/>
    <w:rsid w:val="00103064"/>
    <w:rsid w:val="001131FA"/>
    <w:rsid w:val="001371E9"/>
    <w:rsid w:val="00137C60"/>
    <w:rsid w:val="001618D2"/>
    <w:rsid w:val="00165ACB"/>
    <w:rsid w:val="00187D20"/>
    <w:rsid w:val="001A2B8B"/>
    <w:rsid w:val="001A74A9"/>
    <w:rsid w:val="001B0417"/>
    <w:rsid w:val="001B0801"/>
    <w:rsid w:val="001B2F57"/>
    <w:rsid w:val="001D7598"/>
    <w:rsid w:val="001E42F1"/>
    <w:rsid w:val="001F4876"/>
    <w:rsid w:val="001F5FEA"/>
    <w:rsid w:val="002272BF"/>
    <w:rsid w:val="00227B9F"/>
    <w:rsid w:val="0025068E"/>
    <w:rsid w:val="00255E1E"/>
    <w:rsid w:val="00265A24"/>
    <w:rsid w:val="002B1616"/>
    <w:rsid w:val="002F0F67"/>
    <w:rsid w:val="002F6E49"/>
    <w:rsid w:val="003028EA"/>
    <w:rsid w:val="0030480B"/>
    <w:rsid w:val="003070A9"/>
    <w:rsid w:val="00324D57"/>
    <w:rsid w:val="003302BE"/>
    <w:rsid w:val="00340B11"/>
    <w:rsid w:val="0034762B"/>
    <w:rsid w:val="003518B5"/>
    <w:rsid w:val="00357BD9"/>
    <w:rsid w:val="003652AC"/>
    <w:rsid w:val="00385A4B"/>
    <w:rsid w:val="00395285"/>
    <w:rsid w:val="003A1F2F"/>
    <w:rsid w:val="003A3BE6"/>
    <w:rsid w:val="003B06A5"/>
    <w:rsid w:val="003B464C"/>
    <w:rsid w:val="003E78C5"/>
    <w:rsid w:val="003F3B86"/>
    <w:rsid w:val="003F4348"/>
    <w:rsid w:val="00410764"/>
    <w:rsid w:val="00414F8C"/>
    <w:rsid w:val="00415EE6"/>
    <w:rsid w:val="00420F35"/>
    <w:rsid w:val="004300D5"/>
    <w:rsid w:val="004379C5"/>
    <w:rsid w:val="0045616B"/>
    <w:rsid w:val="00460EB4"/>
    <w:rsid w:val="004623E6"/>
    <w:rsid w:val="00482E5F"/>
    <w:rsid w:val="00484F1D"/>
    <w:rsid w:val="00485B11"/>
    <w:rsid w:val="00490C0D"/>
    <w:rsid w:val="004A2CE6"/>
    <w:rsid w:val="004A37A1"/>
    <w:rsid w:val="004C2619"/>
    <w:rsid w:val="004C5383"/>
    <w:rsid w:val="004E03F6"/>
    <w:rsid w:val="004F384D"/>
    <w:rsid w:val="005125E0"/>
    <w:rsid w:val="0051685A"/>
    <w:rsid w:val="0051741C"/>
    <w:rsid w:val="00536A6C"/>
    <w:rsid w:val="00540FD3"/>
    <w:rsid w:val="00542FD0"/>
    <w:rsid w:val="00582F1C"/>
    <w:rsid w:val="005A49D6"/>
    <w:rsid w:val="005B23F9"/>
    <w:rsid w:val="005C2B30"/>
    <w:rsid w:val="005E202A"/>
    <w:rsid w:val="005F1FF9"/>
    <w:rsid w:val="00634DC1"/>
    <w:rsid w:val="0064198A"/>
    <w:rsid w:val="00642377"/>
    <w:rsid w:val="00644B88"/>
    <w:rsid w:val="0064557F"/>
    <w:rsid w:val="006459C5"/>
    <w:rsid w:val="00646C76"/>
    <w:rsid w:val="00670D42"/>
    <w:rsid w:val="00697F52"/>
    <w:rsid w:val="006A350F"/>
    <w:rsid w:val="006B3B17"/>
    <w:rsid w:val="006E29A5"/>
    <w:rsid w:val="006E4FAA"/>
    <w:rsid w:val="006F7F26"/>
    <w:rsid w:val="00711696"/>
    <w:rsid w:val="00725D34"/>
    <w:rsid w:val="00726A0A"/>
    <w:rsid w:val="00732058"/>
    <w:rsid w:val="00734C52"/>
    <w:rsid w:val="0075168F"/>
    <w:rsid w:val="00754847"/>
    <w:rsid w:val="00780273"/>
    <w:rsid w:val="00780320"/>
    <w:rsid w:val="007865FE"/>
    <w:rsid w:val="007A17F8"/>
    <w:rsid w:val="007B14E6"/>
    <w:rsid w:val="007C6440"/>
    <w:rsid w:val="007C761A"/>
    <w:rsid w:val="007D1319"/>
    <w:rsid w:val="007E3192"/>
    <w:rsid w:val="007E36B1"/>
    <w:rsid w:val="007E7478"/>
    <w:rsid w:val="0080473C"/>
    <w:rsid w:val="00810EF9"/>
    <w:rsid w:val="0083793E"/>
    <w:rsid w:val="00837F7D"/>
    <w:rsid w:val="008467E6"/>
    <w:rsid w:val="00853C22"/>
    <w:rsid w:val="008548ED"/>
    <w:rsid w:val="0089247A"/>
    <w:rsid w:val="00893C93"/>
    <w:rsid w:val="00897BDA"/>
    <w:rsid w:val="008B1780"/>
    <w:rsid w:val="008B5EFF"/>
    <w:rsid w:val="008C1AD8"/>
    <w:rsid w:val="008D0DA6"/>
    <w:rsid w:val="008E3C08"/>
    <w:rsid w:val="00915C67"/>
    <w:rsid w:val="00922234"/>
    <w:rsid w:val="00997DAE"/>
    <w:rsid w:val="009B5F20"/>
    <w:rsid w:val="009C01BD"/>
    <w:rsid w:val="009C17C7"/>
    <w:rsid w:val="009D0035"/>
    <w:rsid w:val="009E01F0"/>
    <w:rsid w:val="009F1EEC"/>
    <w:rsid w:val="009F3244"/>
    <w:rsid w:val="009F7BD8"/>
    <w:rsid w:val="00A07FF9"/>
    <w:rsid w:val="00A15F05"/>
    <w:rsid w:val="00A3666D"/>
    <w:rsid w:val="00A61128"/>
    <w:rsid w:val="00AA1F2C"/>
    <w:rsid w:val="00AC6A1F"/>
    <w:rsid w:val="00AE4648"/>
    <w:rsid w:val="00B01FDE"/>
    <w:rsid w:val="00B1716E"/>
    <w:rsid w:val="00B27273"/>
    <w:rsid w:val="00B41E74"/>
    <w:rsid w:val="00B43110"/>
    <w:rsid w:val="00B44A6A"/>
    <w:rsid w:val="00B74F06"/>
    <w:rsid w:val="00B81DF0"/>
    <w:rsid w:val="00B8296C"/>
    <w:rsid w:val="00B922BD"/>
    <w:rsid w:val="00B96CE3"/>
    <w:rsid w:val="00BA7C30"/>
    <w:rsid w:val="00BE7AE4"/>
    <w:rsid w:val="00BE7F5B"/>
    <w:rsid w:val="00C14AE6"/>
    <w:rsid w:val="00C1513E"/>
    <w:rsid w:val="00C33B2D"/>
    <w:rsid w:val="00C639EF"/>
    <w:rsid w:val="00C7403B"/>
    <w:rsid w:val="00C93275"/>
    <w:rsid w:val="00CC1A50"/>
    <w:rsid w:val="00CF5A90"/>
    <w:rsid w:val="00D04E45"/>
    <w:rsid w:val="00D13FC8"/>
    <w:rsid w:val="00D268AE"/>
    <w:rsid w:val="00D33D5B"/>
    <w:rsid w:val="00D36432"/>
    <w:rsid w:val="00D427A5"/>
    <w:rsid w:val="00D47CDF"/>
    <w:rsid w:val="00D628BB"/>
    <w:rsid w:val="00D64FA1"/>
    <w:rsid w:val="00DA2693"/>
    <w:rsid w:val="00DB470B"/>
    <w:rsid w:val="00DE5E5B"/>
    <w:rsid w:val="00DF7303"/>
    <w:rsid w:val="00E00A23"/>
    <w:rsid w:val="00E02445"/>
    <w:rsid w:val="00E108E2"/>
    <w:rsid w:val="00E12F04"/>
    <w:rsid w:val="00E2217D"/>
    <w:rsid w:val="00E30B7D"/>
    <w:rsid w:val="00E32FB7"/>
    <w:rsid w:val="00E64805"/>
    <w:rsid w:val="00ED20EF"/>
    <w:rsid w:val="00ED3560"/>
    <w:rsid w:val="00ED401E"/>
    <w:rsid w:val="00EE3D35"/>
    <w:rsid w:val="00F01BF8"/>
    <w:rsid w:val="00F1341A"/>
    <w:rsid w:val="00F27297"/>
    <w:rsid w:val="00F35B25"/>
    <w:rsid w:val="00F40C50"/>
    <w:rsid w:val="00F57DD5"/>
    <w:rsid w:val="00F60DF7"/>
    <w:rsid w:val="00F7745C"/>
    <w:rsid w:val="00F8028B"/>
    <w:rsid w:val="00F841A1"/>
    <w:rsid w:val="00F9185B"/>
    <w:rsid w:val="00F97F3A"/>
    <w:rsid w:val="00FA0934"/>
    <w:rsid w:val="00FA2C2C"/>
    <w:rsid w:val="00FC5500"/>
    <w:rsid w:val="00FE4576"/>
    <w:rsid w:val="00FE4E78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3C9C95-1B36-4F7E-BA74-4ADF6DB6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D9"/>
    <w:pPr>
      <w:spacing w:before="120" w:after="120" w:line="288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D34"/>
    <w:pPr>
      <w:keepNext/>
      <w:keepLines/>
      <w:spacing w:before="240" w:after="0" w:line="240" w:lineRule="auto"/>
      <w:outlineLvl w:val="0"/>
    </w:pPr>
    <w:rPr>
      <w:rFonts w:eastAsiaTheme="majorEastAsia"/>
      <w:b/>
      <w:color w:val="005695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5D34"/>
    <w:pPr>
      <w:keepNext/>
      <w:keepLines/>
      <w:spacing w:before="40" w:after="240" w:line="240" w:lineRule="auto"/>
      <w:ind w:hanging="720"/>
      <w:outlineLvl w:val="1"/>
    </w:pPr>
    <w:rPr>
      <w:rFonts w:eastAsiaTheme="majorEastAsia"/>
      <w:b/>
      <w:color w:val="005695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5D34"/>
    <w:pPr>
      <w:keepNext/>
      <w:keepLines/>
      <w:spacing w:before="240" w:line="240" w:lineRule="auto"/>
      <w:outlineLvl w:val="2"/>
    </w:pPr>
    <w:rPr>
      <w:rFonts w:eastAsiaTheme="majorEastAsia"/>
      <w:b/>
      <w:color w:val="005695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39EF"/>
    <w:pPr>
      <w:keepNext/>
      <w:keepLines/>
      <w:spacing w:before="240" w:after="0"/>
      <w:ind w:left="360"/>
      <w:outlineLvl w:val="3"/>
    </w:pPr>
    <w:rPr>
      <w:rFonts w:eastAsiaTheme="majorEastAsia"/>
      <w:b/>
      <w:iCs/>
      <w:color w:val="374C59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3E78C5"/>
    <w:pPr>
      <w:keepNext/>
      <w:keepLines/>
      <w:spacing w:before="40" w:after="0"/>
      <w:ind w:left="720"/>
      <w:outlineLvl w:val="4"/>
    </w:pPr>
    <w:rPr>
      <w:rFonts w:eastAsiaTheme="majorEastAsia"/>
      <w:b/>
      <w:color w:val="374C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D5"/>
  </w:style>
  <w:style w:type="paragraph" w:styleId="Footer">
    <w:name w:val="footer"/>
    <w:basedOn w:val="Normal"/>
    <w:link w:val="FooterChar"/>
    <w:uiPriority w:val="99"/>
    <w:unhideWhenUsed/>
    <w:rsid w:val="00F5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D5"/>
  </w:style>
  <w:style w:type="paragraph" w:customStyle="1" w:styleId="Bold">
    <w:name w:val="Bold"/>
    <w:next w:val="Normal"/>
    <w:rsid w:val="00420F35"/>
    <w:pPr>
      <w:spacing w:after="120"/>
    </w:pPr>
    <w:rPr>
      <w:rFonts w:ascii="Arial" w:hAnsi="Arial" w:cs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5D34"/>
    <w:rPr>
      <w:rFonts w:ascii="Arial" w:eastAsiaTheme="majorEastAsia" w:hAnsi="Arial" w:cs="Arial"/>
      <w:b/>
      <w:color w:val="00569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25D34"/>
    <w:rPr>
      <w:rFonts w:ascii="Arial" w:eastAsiaTheme="majorEastAsia" w:hAnsi="Arial" w:cs="Arial"/>
      <w:b/>
      <w:color w:val="005695"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024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2445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rsid w:val="000120EC"/>
    <w:pPr>
      <w:outlineLvl w:val="9"/>
    </w:pPr>
    <w:rPr>
      <w:rFonts w:asciiTheme="majorHAnsi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120EC"/>
    <w:pPr>
      <w:spacing w:after="100"/>
    </w:pPr>
  </w:style>
  <w:style w:type="character" w:styleId="Hyperlink">
    <w:name w:val="Hyperlink"/>
    <w:basedOn w:val="DefaultParagraphFont"/>
    <w:uiPriority w:val="99"/>
    <w:unhideWhenUsed/>
    <w:qFormat/>
    <w:rsid w:val="000120E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5D34"/>
    <w:rPr>
      <w:rFonts w:ascii="Arial" w:eastAsiaTheme="majorEastAsia" w:hAnsi="Arial" w:cs="Arial"/>
      <w:b/>
      <w:color w:val="005695"/>
      <w:sz w:val="36"/>
      <w:szCs w:val="36"/>
    </w:rPr>
  </w:style>
  <w:style w:type="table" w:styleId="TableGrid">
    <w:name w:val="Table Grid"/>
    <w:basedOn w:val="TableNormal"/>
    <w:uiPriority w:val="39"/>
    <w:rsid w:val="007D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D13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2">
    <w:name w:val="toc 2"/>
    <w:basedOn w:val="Normal"/>
    <w:next w:val="Normal"/>
    <w:autoRedefine/>
    <w:uiPriority w:val="39"/>
    <w:unhideWhenUsed/>
    <w:rsid w:val="004C53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C5383"/>
    <w:pPr>
      <w:spacing w:after="100"/>
      <w:ind w:left="440"/>
    </w:pPr>
  </w:style>
  <w:style w:type="paragraph" w:styleId="ListParagraph">
    <w:name w:val="List Paragraph"/>
    <w:aliases w:val="Bullet"/>
    <w:basedOn w:val="Normal"/>
    <w:uiPriority w:val="34"/>
    <w:qFormat/>
    <w:rsid w:val="003652AC"/>
    <w:pPr>
      <w:ind w:left="720"/>
    </w:pPr>
  </w:style>
  <w:style w:type="paragraph" w:customStyle="1" w:styleId="TermCodeMod">
    <w:name w:val="Term/Code Mod"/>
    <w:basedOn w:val="Heading3"/>
    <w:next w:val="Normal"/>
    <w:link w:val="TermCodeModChar"/>
    <w:rsid w:val="00415EE6"/>
    <w:rPr>
      <w:sz w:val="28"/>
      <w:szCs w:val="28"/>
    </w:rPr>
  </w:style>
  <w:style w:type="character" w:customStyle="1" w:styleId="TermCodeModChar">
    <w:name w:val="Term/Code Mod Char"/>
    <w:basedOn w:val="Heading3Char"/>
    <w:link w:val="TermCodeMod"/>
    <w:rsid w:val="00415EE6"/>
    <w:rPr>
      <w:rFonts w:ascii="Arial Black" w:eastAsiaTheme="majorEastAsia" w:hAnsi="Arial Black" w:cstheme="majorBidi"/>
      <w:b/>
      <w:color w:val="374C59"/>
      <w:sz w:val="28"/>
      <w:szCs w:val="28"/>
    </w:rPr>
  </w:style>
  <w:style w:type="character" w:customStyle="1" w:styleId="CodeTerm">
    <w:name w:val="Code/Term"/>
    <w:basedOn w:val="DefaultParagraphFont"/>
    <w:uiPriority w:val="1"/>
    <w:qFormat/>
    <w:rsid w:val="00725D34"/>
    <w:rPr>
      <w:b/>
      <w:color w:val="005695"/>
    </w:rPr>
  </w:style>
  <w:style w:type="character" w:customStyle="1" w:styleId="Heading4Char">
    <w:name w:val="Heading 4 Char"/>
    <w:basedOn w:val="DefaultParagraphFont"/>
    <w:link w:val="Heading4"/>
    <w:uiPriority w:val="9"/>
    <w:rsid w:val="00C639EF"/>
    <w:rPr>
      <w:rFonts w:ascii="Arial" w:eastAsiaTheme="majorEastAsia" w:hAnsi="Arial" w:cs="Arial"/>
      <w:b/>
      <w:iCs/>
      <w:color w:val="374C59"/>
      <w:sz w:val="24"/>
      <w:szCs w:val="24"/>
    </w:rPr>
  </w:style>
  <w:style w:type="paragraph" w:customStyle="1" w:styleId="Subsection">
    <w:name w:val="Subsection"/>
    <w:basedOn w:val="Normal"/>
    <w:link w:val="SubsectionChar"/>
    <w:qFormat/>
    <w:rsid w:val="00670D42"/>
    <w:pPr>
      <w:ind w:left="360"/>
    </w:pPr>
  </w:style>
  <w:style w:type="paragraph" w:customStyle="1" w:styleId="SubsectionBullet">
    <w:name w:val="Subsection Bullet"/>
    <w:basedOn w:val="Subsection"/>
    <w:link w:val="SubsectionBulletChar"/>
    <w:qFormat/>
    <w:rsid w:val="00090BEC"/>
    <w:pPr>
      <w:numPr>
        <w:numId w:val="1"/>
      </w:numPr>
      <w:ind w:left="1080"/>
    </w:pPr>
  </w:style>
  <w:style w:type="character" w:customStyle="1" w:styleId="SubsectionChar">
    <w:name w:val="Subsection Char"/>
    <w:basedOn w:val="DefaultParagraphFont"/>
    <w:link w:val="Subsection"/>
    <w:rsid w:val="00670D42"/>
    <w:rPr>
      <w:rFonts w:ascii="Arial" w:hAnsi="Arial" w:cs="Arial"/>
    </w:rPr>
  </w:style>
  <w:style w:type="character" w:customStyle="1" w:styleId="SubsectionBulletChar">
    <w:name w:val="Subsection Bullet Char"/>
    <w:basedOn w:val="SubsectionChar"/>
    <w:link w:val="SubsectionBullet"/>
    <w:rsid w:val="00090BEC"/>
    <w:rPr>
      <w:rFonts w:ascii="Arial" w:hAnsi="Arial" w:cs="Arial"/>
    </w:rPr>
  </w:style>
  <w:style w:type="paragraph" w:customStyle="1" w:styleId="LinkNote">
    <w:name w:val="Link/Note"/>
    <w:basedOn w:val="Normal"/>
    <w:link w:val="LinkNoteChar"/>
    <w:qFormat/>
    <w:rsid w:val="001E42F1"/>
    <w:pPr>
      <w:ind w:left="630" w:hanging="13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nkNoteChar">
    <w:name w:val="Link/Note Char"/>
    <w:basedOn w:val="DefaultParagraphFont"/>
    <w:link w:val="LinkNote"/>
    <w:rsid w:val="001E42F1"/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A1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3E78C5"/>
    <w:rPr>
      <w:rFonts w:ascii="Arial" w:eastAsiaTheme="majorEastAsia" w:hAnsi="Arial" w:cs="Arial"/>
      <w:b/>
      <w:color w:val="374C59"/>
    </w:rPr>
  </w:style>
  <w:style w:type="character" w:customStyle="1" w:styleId="ColoredText">
    <w:name w:val="Colored Text"/>
    <w:basedOn w:val="DefaultParagraphFont"/>
    <w:uiPriority w:val="1"/>
    <w:rsid w:val="001618D2"/>
    <w:rPr>
      <w:b/>
      <w:color w:val="374C59"/>
    </w:rPr>
  </w:style>
  <w:style w:type="paragraph" w:customStyle="1" w:styleId="MARFSHeader">
    <w:name w:val="MARFS Header"/>
    <w:basedOn w:val="Header"/>
    <w:link w:val="MARFSHeaderChar"/>
    <w:rsid w:val="00780273"/>
    <w:pPr>
      <w:pBdr>
        <w:bottom w:val="single" w:sz="4" w:space="1" w:color="auto"/>
      </w:pBdr>
      <w:tabs>
        <w:tab w:val="clear" w:pos="9360"/>
        <w:tab w:val="right" w:pos="9630"/>
      </w:tabs>
      <w:spacing w:before="40" w:after="120"/>
    </w:pPr>
    <w:rPr>
      <w:rFonts w:ascii="Arial Bold" w:hAnsi="Arial Bold" w:cs="Times New Roman"/>
      <w:b/>
      <w:bCs/>
      <w:color w:val="8B0B04"/>
      <w:sz w:val="24"/>
      <w:szCs w:val="28"/>
    </w:rPr>
  </w:style>
  <w:style w:type="character" w:customStyle="1" w:styleId="MARFSHeaderChar">
    <w:name w:val="MARFS Header Char"/>
    <w:basedOn w:val="HeaderChar"/>
    <w:link w:val="MARFSHeader"/>
    <w:rsid w:val="00780273"/>
    <w:rPr>
      <w:rFonts w:ascii="Arial Bold" w:hAnsi="Arial Bold" w:cs="Times New Roman"/>
      <w:b/>
      <w:bCs/>
      <w:color w:val="8B0B04"/>
      <w:sz w:val="24"/>
      <w:szCs w:val="28"/>
    </w:rPr>
  </w:style>
  <w:style w:type="paragraph" w:customStyle="1" w:styleId="MARFSFooter">
    <w:name w:val="MARFS Footer"/>
    <w:basedOn w:val="Footer"/>
    <w:link w:val="MARFSFooterChar"/>
    <w:rsid w:val="00780273"/>
    <w:pPr>
      <w:tabs>
        <w:tab w:val="clear" w:pos="9360"/>
        <w:tab w:val="right" w:pos="9630"/>
      </w:tabs>
    </w:pPr>
    <w:rPr>
      <w:rFonts w:cs="Times New Roman"/>
      <w:bCs/>
      <w:sz w:val="20"/>
      <w:szCs w:val="20"/>
    </w:rPr>
  </w:style>
  <w:style w:type="character" w:customStyle="1" w:styleId="MARFSFooterChar">
    <w:name w:val="MARFS Footer Char"/>
    <w:basedOn w:val="FooterChar"/>
    <w:link w:val="MARFSFooter"/>
    <w:rsid w:val="00780273"/>
    <w:rPr>
      <w:rFonts w:ascii="Arial" w:hAnsi="Arial" w:cs="Times New Roman"/>
      <w:bCs/>
      <w:sz w:val="20"/>
      <w:szCs w:val="20"/>
    </w:rPr>
  </w:style>
  <w:style w:type="paragraph" w:customStyle="1" w:styleId="DefinitionBody">
    <w:name w:val="Definition Body"/>
    <w:basedOn w:val="Normal"/>
    <w:link w:val="DefinitionBodyChar"/>
    <w:qFormat/>
    <w:rsid w:val="00460EB4"/>
    <w:pPr>
      <w:spacing w:line="276" w:lineRule="auto"/>
      <w:ind w:left="806"/>
    </w:pPr>
    <w:rPr>
      <w:rFonts w:cs="Times New Roman"/>
      <w:bCs/>
      <w:szCs w:val="24"/>
    </w:rPr>
  </w:style>
  <w:style w:type="character" w:customStyle="1" w:styleId="DefinitionBodyChar">
    <w:name w:val="Definition Body Char"/>
    <w:basedOn w:val="DefaultParagraphFont"/>
    <w:link w:val="DefinitionBody"/>
    <w:rsid w:val="00460EB4"/>
    <w:rPr>
      <w:rFonts w:ascii="Arial" w:hAnsi="Arial" w:cs="Times New Roman"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5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57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57F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7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ni.wa.gov/patient-care/treating-patients/conditions-and-treatments/?query=Nonpharmacologic+treatments+for+treatment-resistant+depression&amp;pg=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ni.wa.gov/patient-care/treating-patients/conditions-and-treatments/?query=Nonpharmacologic+treatments+for+treatment-resistant+depression&amp;pg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B334-4BE6-471C-AAB4-F5D58B08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TMS Policy Update Chapter 17 Mental Health Services</dc:title>
  <dc:subject/>
  <dc:creator>WA. Dept of Labor &amp; Industries</dc:creator>
  <cp:keywords>TMS Policy Update, Mental Health Services, Chapter 17</cp:keywords>
  <dc:description/>
  <cp:lastModifiedBy>Cody, Kimberly (LNI)</cp:lastModifiedBy>
  <cp:revision>2</cp:revision>
  <dcterms:created xsi:type="dcterms:W3CDTF">2022-01-03T20:04:00Z</dcterms:created>
  <dcterms:modified xsi:type="dcterms:W3CDTF">2022-01-03T20:04:00Z</dcterms:modified>
</cp:coreProperties>
</file>